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24EF" w14:textId="77777777" w:rsidR="005774B5" w:rsidRPr="00E81D91" w:rsidRDefault="005774B5" w:rsidP="005774B5">
      <w:pPr>
        <w:spacing w:after="0" w:line="240" w:lineRule="auto"/>
        <w:ind w:left="284" w:right="102"/>
        <w:jc w:val="center"/>
        <w:rPr>
          <w:rFonts w:ascii="Calibri Light" w:eastAsia="Helvetica Neue" w:hAnsi="Calibri Light" w:cs="Calibri Light"/>
          <w:b/>
          <w:sz w:val="24"/>
          <w:szCs w:val="24"/>
          <w:lang w:val="en-GB" w:eastAsia="it-IT"/>
        </w:rPr>
      </w:pPr>
    </w:p>
    <w:p w14:paraId="1E26C20A" w14:textId="77777777" w:rsidR="005774B5" w:rsidRPr="00E81D91" w:rsidRDefault="00EE1FD3" w:rsidP="005774B5">
      <w:pPr>
        <w:spacing w:after="0" w:line="240" w:lineRule="auto"/>
        <w:ind w:left="284" w:right="102"/>
        <w:jc w:val="center"/>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GISMONDI 1754:</w:t>
      </w:r>
    </w:p>
    <w:p w14:paraId="4FEEAB9C" w14:textId="77777777" w:rsidR="005774B5" w:rsidRPr="00E81D91" w:rsidRDefault="00EE1FD3" w:rsidP="005774B5">
      <w:pPr>
        <w:spacing w:after="0" w:line="240" w:lineRule="auto"/>
        <w:ind w:left="284" w:right="102"/>
        <w:jc w:val="center"/>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LAUNCHES THE TREASURY SHARE BUYBACK PROGRAMME</w:t>
      </w:r>
    </w:p>
    <w:p w14:paraId="123A5F6F" w14:textId="77777777" w:rsidR="005774B5" w:rsidRPr="00E81D91" w:rsidRDefault="005774B5" w:rsidP="005774B5">
      <w:pPr>
        <w:spacing w:after="0" w:line="240" w:lineRule="auto"/>
        <w:ind w:left="284" w:right="102"/>
        <w:jc w:val="center"/>
        <w:rPr>
          <w:rFonts w:ascii="Garamond" w:eastAsia="Helvetica Neue" w:hAnsi="Garamond" w:cs="Calibri Light"/>
          <w:b/>
          <w:sz w:val="24"/>
          <w:szCs w:val="24"/>
          <w:lang w:val="en-GB" w:eastAsia="it-IT"/>
        </w:rPr>
      </w:pPr>
    </w:p>
    <w:p w14:paraId="646BDE0B" w14:textId="77777777" w:rsidR="005774B5" w:rsidRPr="00E81D91" w:rsidRDefault="00EE1FD3" w:rsidP="005774B5">
      <w:pPr>
        <w:spacing w:after="0" w:line="240" w:lineRule="auto"/>
        <w:ind w:left="284" w:right="102"/>
        <w:jc w:val="center"/>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 xml:space="preserve">WEEKLY INFORMATION ON THE </w:t>
      </w:r>
      <w:r w:rsidRPr="00E81D91">
        <w:rPr>
          <w:rFonts w:ascii="Garamond" w:eastAsia="Garamond" w:hAnsi="Garamond" w:cs="Calibri Light"/>
          <w:b/>
          <w:bCs/>
          <w:sz w:val="24"/>
          <w:szCs w:val="24"/>
          <w:lang w:val="en-GB" w:eastAsia="it-IT"/>
        </w:rPr>
        <w:t>PURCHASE</w:t>
      </w:r>
    </w:p>
    <w:p w14:paraId="19323918" w14:textId="77777777" w:rsidR="005774B5" w:rsidRPr="00E81D91" w:rsidRDefault="00EE1FD3" w:rsidP="005774B5">
      <w:pPr>
        <w:spacing w:after="0" w:line="240" w:lineRule="auto"/>
        <w:ind w:left="284" w:right="102"/>
        <w:jc w:val="center"/>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OF TREASURY SHARES</w:t>
      </w:r>
    </w:p>
    <w:p w14:paraId="36C5132E" w14:textId="77777777" w:rsidR="005774B5" w:rsidRPr="00E81D91" w:rsidRDefault="005774B5" w:rsidP="005774B5">
      <w:pPr>
        <w:widowControl w:val="0"/>
        <w:suppressAutoHyphens/>
        <w:spacing w:after="140" w:line="288" w:lineRule="auto"/>
        <w:rPr>
          <w:rFonts w:ascii="Garamond" w:eastAsia="SimSun" w:hAnsi="Garamond" w:cs="Arial"/>
          <w:kern w:val="1"/>
          <w:sz w:val="24"/>
          <w:szCs w:val="24"/>
          <w:lang w:val="en-GB" w:eastAsia="zh-CN" w:bidi="hi-IN"/>
        </w:rPr>
      </w:pPr>
    </w:p>
    <w:p w14:paraId="417D8DCC" w14:textId="77777777" w:rsidR="005774B5" w:rsidRPr="00E81D91" w:rsidRDefault="00EE1FD3" w:rsidP="005774B5">
      <w:pPr>
        <w:widowControl w:val="0"/>
        <w:suppressAutoHyphens/>
        <w:spacing w:after="120" w:line="276" w:lineRule="auto"/>
        <w:ind w:left="133" w:right="101"/>
        <w:jc w:val="both"/>
        <w:rPr>
          <w:rFonts w:ascii="Garamond" w:eastAsia="SimSun" w:hAnsi="Garamond" w:cs="Calibri"/>
          <w:sz w:val="24"/>
          <w:szCs w:val="24"/>
          <w:lang w:val="en-GB"/>
        </w:rPr>
      </w:pPr>
      <w:r w:rsidRPr="00E81D91">
        <w:rPr>
          <w:rFonts w:ascii="Garamond" w:eastAsia="Garamond" w:hAnsi="Garamond" w:cs="Calibri Light"/>
          <w:b/>
          <w:bCs/>
          <w:kern w:val="1"/>
          <w:sz w:val="24"/>
          <w:szCs w:val="24"/>
          <w:lang w:val="en-GB" w:eastAsia="zh-CN" w:bidi="hi-IN"/>
        </w:rPr>
        <w:t>Genoa, 14 November 2022 – Gismondi 1754 (EGM Ticker GIS</w:t>
      </w:r>
      <w:r w:rsidRPr="00E81D91">
        <w:rPr>
          <w:rFonts w:ascii="Garamond" w:eastAsia="Garamond" w:hAnsi="Garamond" w:cs="Calibri Light"/>
          <w:kern w:val="1"/>
          <w:sz w:val="24"/>
          <w:szCs w:val="24"/>
          <w:lang w:val="en-GB" w:eastAsia="zh-CN" w:bidi="hi-IN"/>
        </w:rPr>
        <w:t>, the “</w:t>
      </w:r>
      <w:r w:rsidRPr="00E81D91">
        <w:rPr>
          <w:rFonts w:ascii="Garamond" w:eastAsia="Garamond" w:hAnsi="Garamond" w:cs="Calibri Light"/>
          <w:b/>
          <w:bCs/>
          <w:kern w:val="1"/>
          <w:sz w:val="24"/>
          <w:szCs w:val="24"/>
          <w:lang w:val="en-GB" w:eastAsia="zh-CN" w:bidi="hi-IN"/>
        </w:rPr>
        <w:t>Company</w:t>
      </w:r>
      <w:r w:rsidRPr="00E81D91">
        <w:rPr>
          <w:rFonts w:ascii="Garamond" w:eastAsia="Garamond" w:hAnsi="Garamond" w:cs="Calibri Light"/>
          <w:kern w:val="1"/>
          <w:sz w:val="24"/>
          <w:szCs w:val="24"/>
          <w:lang w:val="en-GB" w:eastAsia="zh-CN" w:bidi="hi-IN"/>
        </w:rPr>
        <w:t>”), Genoese company that prod</w:t>
      </w:r>
      <w:r w:rsidRPr="00E81D91">
        <w:rPr>
          <w:rFonts w:ascii="Garamond" w:eastAsia="Garamond" w:hAnsi="Garamond" w:cs="Calibri Light"/>
          <w:kern w:val="1"/>
          <w:sz w:val="24"/>
          <w:szCs w:val="24"/>
          <w:lang w:val="en-GB" w:eastAsia="zh-CN" w:bidi="hi-IN"/>
        </w:rPr>
        <w:t xml:space="preserve">uces highest-end jewellery, listed on Euronext Growth Milan, the multilateral trading system organised and managed by Borsa Italiana S.p.A., notifies that on 4 November 2022 it launched its ordinary treasury share purchasing programme, under the following </w:t>
      </w:r>
      <w:r w:rsidRPr="00E81D91">
        <w:rPr>
          <w:rFonts w:ascii="Garamond" w:eastAsia="Garamond" w:hAnsi="Garamond" w:cs="Calibri Light"/>
          <w:kern w:val="1"/>
          <w:sz w:val="24"/>
          <w:szCs w:val="24"/>
          <w:lang w:val="en-GB" w:eastAsia="zh-CN" w:bidi="hi-IN"/>
        </w:rPr>
        <w:t>terms and conditions (the “</w:t>
      </w:r>
      <w:r w:rsidRPr="00E81D91">
        <w:rPr>
          <w:rFonts w:ascii="Garamond" w:eastAsia="Garamond" w:hAnsi="Garamond" w:cs="Calibri Light"/>
          <w:b/>
          <w:bCs/>
          <w:kern w:val="1"/>
          <w:sz w:val="24"/>
          <w:szCs w:val="24"/>
          <w:lang w:val="en-GB" w:eastAsia="zh-CN" w:bidi="hi-IN"/>
        </w:rPr>
        <w:t>Programme</w:t>
      </w:r>
      <w:r w:rsidRPr="00E81D91">
        <w:rPr>
          <w:rFonts w:ascii="Garamond" w:eastAsia="Garamond" w:hAnsi="Garamond" w:cs="Calibri Light"/>
          <w:kern w:val="1"/>
          <w:sz w:val="24"/>
          <w:szCs w:val="24"/>
          <w:lang w:val="en-GB" w:eastAsia="zh-CN" w:bidi="hi-IN"/>
        </w:rPr>
        <w:t>”), executing and in compliance with the authorisation to purchase</w:t>
      </w:r>
      <w:r w:rsidRPr="00E81D91">
        <w:rPr>
          <w:rFonts w:ascii="Garamond" w:eastAsia="Garamond" w:hAnsi="Garamond" w:cs="Calibri Light"/>
          <w:kern w:val="1"/>
          <w:sz w:val="24"/>
          <w:szCs w:val="24"/>
          <w:lang w:val="en-GB" w:eastAsia="zh-CN" w:bidi="hi-IN"/>
        </w:rPr>
        <w:t xml:space="preserve"> and dispose of treasury shares resolved by the Shareholders’ Meeting of 10 June 2022.</w:t>
      </w:r>
    </w:p>
    <w:p w14:paraId="08B5ACE5" w14:textId="77777777" w:rsidR="005774B5" w:rsidRPr="00E81D91" w:rsidRDefault="00EE1FD3" w:rsidP="005774B5">
      <w:pPr>
        <w:spacing w:after="120" w:line="276" w:lineRule="auto"/>
        <w:ind w:left="284" w:right="102" w:hanging="142"/>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PROGRAMME PURPOSE</w:t>
      </w:r>
    </w:p>
    <w:p w14:paraId="3CB6823E" w14:textId="77777777" w:rsidR="005774B5" w:rsidRPr="00E81D91" w:rsidRDefault="00EE1FD3" w:rsidP="005774B5">
      <w:pPr>
        <w:widowControl w:val="0"/>
        <w:suppressAutoHyphens/>
        <w:spacing w:after="120" w:line="276" w:lineRule="auto"/>
        <w:ind w:left="133"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The Programme will be conducted for the following purposes and with methods permitted by laws in force and applicable regulations; including the purposes considered in art. 5 of Regulation (EU) 596/2014 (Market Abuse Regulation, hereinafter “MAR”) and r</w:t>
      </w:r>
      <w:r w:rsidRPr="00E81D91">
        <w:rPr>
          <w:rFonts w:ascii="Garamond" w:eastAsia="Garamond" w:hAnsi="Garamond" w:cs="Calibri Light"/>
          <w:kern w:val="1"/>
          <w:sz w:val="24"/>
          <w:szCs w:val="24"/>
          <w:lang w:val="en-GB" w:eastAsia="zh-CN" w:bidi="hi-IN"/>
        </w:rPr>
        <w:t>elative implementation provisions, when applicable, and market practices permitted regulated by art. 13 MAR – for, merely as an example, the following purposes: (i) the possibility to sustain the liquidity of the shares themselves; (ii) efficient use of Co</w:t>
      </w:r>
      <w:r w:rsidRPr="00E81D91">
        <w:rPr>
          <w:rFonts w:ascii="Garamond" w:eastAsia="Garamond" w:hAnsi="Garamond" w:cs="Calibri Light"/>
          <w:kern w:val="1"/>
          <w:sz w:val="24"/>
          <w:szCs w:val="24"/>
          <w:lang w:val="en-GB" w:eastAsia="zh-CN" w:bidi="hi-IN"/>
        </w:rPr>
        <w:t>mpany liquidity with medium and long term investment in mind; (iii) use of the shares in transactions connected to customary management or projects consistent with the Company’s strategic lines, related to which an exchange of shares is opportune; (iv) con</w:t>
      </w:r>
      <w:r w:rsidRPr="00E81D91">
        <w:rPr>
          <w:rFonts w:ascii="Garamond" w:eastAsia="Garamond" w:hAnsi="Garamond" w:cs="Calibri Light"/>
          <w:kern w:val="1"/>
          <w:sz w:val="24"/>
          <w:szCs w:val="24"/>
          <w:lang w:val="en-GB" w:eastAsia="zh-CN" w:bidi="hi-IN"/>
        </w:rPr>
        <w:t>senting to shares being purchased by the beneficiaries of any stock-option plans and/or in the possibility to implement stock-grant plans; (v) being able to dispose of treasury shares, consistent with the strategic lines that the Company intends to pursue,</w:t>
      </w:r>
      <w:r w:rsidRPr="00E81D91">
        <w:rPr>
          <w:rFonts w:ascii="Garamond" w:eastAsia="Garamond" w:hAnsi="Garamond" w:cs="Calibri Light"/>
          <w:kern w:val="1"/>
          <w:sz w:val="24"/>
          <w:szCs w:val="24"/>
          <w:lang w:val="en-GB" w:eastAsia="zh-CN" w:bidi="hi-IN"/>
        </w:rPr>
        <w:t xml:space="preserve"> as a consideration in any extraordinary transactions.</w:t>
      </w:r>
    </w:p>
    <w:p w14:paraId="40AF4F14" w14:textId="77777777" w:rsidR="005774B5" w:rsidRPr="00E81D91" w:rsidRDefault="00EE1FD3" w:rsidP="005774B5">
      <w:pPr>
        <w:spacing w:after="120" w:line="276" w:lineRule="auto"/>
        <w:ind w:left="284" w:right="102" w:hanging="142"/>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PROGRAMME DURATION</w:t>
      </w:r>
    </w:p>
    <w:p w14:paraId="207981D7" w14:textId="77777777" w:rsidR="005774B5" w:rsidRPr="00E81D91" w:rsidRDefault="00EE1FD3" w:rsidP="005774B5">
      <w:pPr>
        <w:widowControl w:val="0"/>
        <w:suppressAutoHyphens/>
        <w:spacing w:after="120" w:line="276" w:lineRule="auto"/>
        <w:ind w:left="133"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For what concerns the purcha</w:t>
      </w:r>
      <w:r w:rsidRPr="00E81D91">
        <w:rPr>
          <w:rFonts w:ascii="Garamond" w:eastAsia="Garamond" w:hAnsi="Garamond" w:cs="Calibri Light"/>
          <w:kern w:val="1"/>
          <w:sz w:val="24"/>
          <w:szCs w:val="24"/>
          <w:lang w:val="en-GB" w:eastAsia="zh-CN" w:bidi="hi-IN"/>
        </w:rPr>
        <w:t>se of treasury shares in one or more times, the Programme will last for 18 months starting from its resolution on 10 June 2022. Any disposal deeds, to be performed in one or more solutions, such as sale, exchange transactions, exchange, assignment or other</w:t>
      </w:r>
      <w:r w:rsidRPr="00E81D91">
        <w:rPr>
          <w:rFonts w:ascii="Garamond" w:eastAsia="Garamond" w:hAnsi="Garamond" w:cs="Calibri Light"/>
          <w:kern w:val="1"/>
          <w:sz w:val="24"/>
          <w:szCs w:val="24"/>
          <w:lang w:val="en-GB" w:eastAsia="zh-CN" w:bidi="hi-IN"/>
        </w:rPr>
        <w:t xml:space="preserve"> disposal deed, that do not involve money, will not have any time limits.</w:t>
      </w:r>
    </w:p>
    <w:p w14:paraId="7076EB32" w14:textId="77777777" w:rsidR="005774B5" w:rsidRPr="00E81D91" w:rsidRDefault="00EE1FD3" w:rsidP="005774B5">
      <w:pPr>
        <w:spacing w:after="120" w:line="276" w:lineRule="auto"/>
        <w:ind w:left="284" w:right="102" w:hanging="142"/>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MAXIMUM NUMBER OF SHARES TO BE PURCHASED AND MAXIMUM COUNTERVALUE</w:t>
      </w:r>
    </w:p>
    <w:p w14:paraId="1D29D20E" w14:textId="77777777" w:rsidR="005774B5" w:rsidRPr="00E81D91" w:rsidRDefault="00EE1FD3" w:rsidP="005774B5">
      <w:pPr>
        <w:widowControl w:val="0"/>
        <w:suppressAutoHyphens/>
        <w:spacing w:after="120" w:line="276" w:lineRule="auto"/>
        <w:ind w:left="133"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Purchases may pursue, even in several tranches, a maximum rotation (meaning the maximum amount of treasury shares held in portfolio each time) of treasury shares, with no indicat</w:t>
      </w:r>
      <w:r w:rsidRPr="00E81D91">
        <w:rPr>
          <w:rFonts w:ascii="Garamond" w:eastAsia="Garamond" w:hAnsi="Garamond" w:cs="Calibri Light"/>
          <w:kern w:val="1"/>
          <w:sz w:val="24"/>
          <w:szCs w:val="24"/>
          <w:lang w:val="en-GB" w:eastAsia="zh-CN" w:bidi="hi-IN"/>
        </w:rPr>
        <w:t>ion of par value, of 20% of share capital and may be conducted for a maximum countervalue purchased of €1,500,000.</w:t>
      </w:r>
    </w:p>
    <w:p w14:paraId="686C2459" w14:textId="77777777" w:rsidR="005774B5" w:rsidRPr="00E81D91" w:rsidRDefault="00EE1FD3" w:rsidP="005774B5">
      <w:pPr>
        <w:spacing w:after="120" w:line="276" w:lineRule="auto"/>
        <w:ind w:left="284" w:right="102" w:hanging="142"/>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MINIMUM AND MAXIMUM CONSIDERATION AND VOLUMES</w:t>
      </w:r>
    </w:p>
    <w:p w14:paraId="17BB4C31" w14:textId="77777777" w:rsidR="005774B5" w:rsidRPr="00E81D91" w:rsidRDefault="00EE1FD3" w:rsidP="005774B5">
      <w:pPr>
        <w:widowControl w:val="0"/>
        <w:suppressAutoHyphens/>
        <w:spacing w:after="120" w:line="276" w:lineRule="auto"/>
        <w:ind w:left="133"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The Programme must be conducted within the limits permitted by laws, regulations and provisions, also issued by supervisory authorities, in force each time (in any case, in compliance with regulati</w:t>
      </w:r>
      <w:r w:rsidRPr="00E81D91">
        <w:rPr>
          <w:rFonts w:ascii="Garamond" w:eastAsia="Garamond" w:hAnsi="Garamond" w:cs="Calibri Light"/>
          <w:kern w:val="1"/>
          <w:sz w:val="24"/>
          <w:szCs w:val="24"/>
          <w:lang w:val="en-GB" w:eastAsia="zh-CN" w:bidi="hi-IN"/>
        </w:rPr>
        <w:t>ons applicable on Euronext Growth, with specific reference to minimum free float requirements and equal treatment for shareholders).</w:t>
      </w:r>
    </w:p>
    <w:p w14:paraId="0766AFD2" w14:textId="77777777" w:rsidR="005774B5" w:rsidRPr="00E81D91" w:rsidRDefault="00EE1FD3" w:rsidP="005774B5">
      <w:pPr>
        <w:widowControl w:val="0"/>
        <w:suppressAutoHyphens/>
        <w:spacing w:after="120" w:line="276" w:lineRule="auto"/>
        <w:ind w:left="133"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Moreover, the shareholders’ meeting resolution</w:t>
      </w:r>
      <w:r w:rsidRPr="00E81D91">
        <w:rPr>
          <w:rFonts w:ascii="Garamond" w:eastAsia="Garamond" w:hAnsi="Garamond" w:cs="Calibri Light"/>
          <w:kern w:val="1"/>
          <w:sz w:val="24"/>
          <w:szCs w:val="24"/>
          <w:lang w:val="en-GB" w:eastAsia="zh-CN" w:bidi="hi-IN"/>
        </w:rPr>
        <w:t xml:space="preserve"> of 10 June 2022 establishes the following limits:</w:t>
      </w:r>
    </w:p>
    <w:p w14:paraId="0973D1BA" w14:textId="77777777" w:rsidR="005774B5" w:rsidRPr="00E81D91" w:rsidRDefault="00EE1FD3" w:rsidP="005774B5">
      <w:pPr>
        <w:widowControl w:val="0"/>
        <w:numPr>
          <w:ilvl w:val="0"/>
          <w:numId w:val="1"/>
        </w:numPr>
        <w:tabs>
          <w:tab w:val="left" w:pos="849"/>
        </w:tabs>
        <w:suppressAutoHyphens/>
        <w:autoSpaceDE w:val="0"/>
        <w:autoSpaceDN w:val="0"/>
        <w:spacing w:before="120" w:after="120" w:line="276" w:lineRule="auto"/>
        <w:ind w:right="104"/>
        <w:jc w:val="both"/>
        <w:rPr>
          <w:rFonts w:ascii="Garamond" w:eastAsia="Calibri" w:hAnsi="Garamond" w:cs="Calibri Light"/>
          <w:sz w:val="24"/>
          <w:szCs w:val="24"/>
          <w:lang w:val="en-GB" w:eastAsia="it-IT"/>
        </w:rPr>
      </w:pPr>
      <w:r w:rsidRPr="00E81D91">
        <w:rPr>
          <w:rFonts w:ascii="Garamond" w:eastAsia="Garamond" w:hAnsi="Garamond" w:cs="Calibri Light"/>
          <w:sz w:val="24"/>
          <w:szCs w:val="24"/>
          <w:lang w:val="en-GB" w:eastAsia="it-IT"/>
        </w:rPr>
        <w:t xml:space="preserve">purchase transactions must be conducted within the limits of profits distributable and reserves </w:t>
      </w:r>
      <w:r w:rsidRPr="00E81D91">
        <w:rPr>
          <w:rFonts w:ascii="Garamond" w:eastAsia="Garamond" w:hAnsi="Garamond" w:cs="Calibri Light"/>
          <w:sz w:val="24"/>
          <w:szCs w:val="24"/>
          <w:lang w:val="en-GB" w:eastAsia="it-IT"/>
        </w:rPr>
        <w:lastRenderedPageBreak/>
        <w:t xml:space="preserve">available in the last </w:t>
      </w:r>
      <w:r w:rsidRPr="00E81D91">
        <w:rPr>
          <w:rFonts w:ascii="Garamond" w:eastAsia="Garamond" w:hAnsi="Garamond" w:cs="Calibri Light"/>
          <w:sz w:val="24"/>
          <w:szCs w:val="24"/>
          <w:lang w:val="en-GB" w:eastAsia="it-IT"/>
        </w:rPr>
        <w:t>financial statements approved when the transaction takes place;</w:t>
      </w:r>
    </w:p>
    <w:p w14:paraId="3B417628" w14:textId="77777777" w:rsidR="005774B5" w:rsidRPr="00E81D91" w:rsidRDefault="00EE1FD3" w:rsidP="005774B5">
      <w:pPr>
        <w:widowControl w:val="0"/>
        <w:numPr>
          <w:ilvl w:val="0"/>
          <w:numId w:val="1"/>
        </w:numPr>
        <w:tabs>
          <w:tab w:val="left" w:pos="849"/>
        </w:tabs>
        <w:suppressAutoHyphens/>
        <w:autoSpaceDE w:val="0"/>
        <w:autoSpaceDN w:val="0"/>
        <w:spacing w:before="119" w:after="120" w:line="276" w:lineRule="auto"/>
        <w:ind w:right="103" w:hanging="528"/>
        <w:jc w:val="both"/>
        <w:rPr>
          <w:rFonts w:ascii="Garamond" w:eastAsia="Calibri" w:hAnsi="Garamond" w:cs="Calibri Light"/>
          <w:sz w:val="24"/>
          <w:szCs w:val="24"/>
          <w:lang w:val="en-GB" w:eastAsia="it-IT"/>
        </w:rPr>
      </w:pPr>
      <w:r w:rsidRPr="00E81D91">
        <w:rPr>
          <w:rFonts w:ascii="Garamond" w:eastAsia="Garamond" w:hAnsi="Garamond" w:cs="Calibri Light"/>
          <w:sz w:val="24"/>
          <w:szCs w:val="24"/>
          <w:lang w:val="en-GB" w:eastAsia="it-IT"/>
        </w:rPr>
        <w:t>purchases must be made at a price per share that may not be higher or lower than 15% of the reference price registe</w:t>
      </w:r>
      <w:r w:rsidRPr="00E81D91">
        <w:rPr>
          <w:rFonts w:ascii="Garamond" w:eastAsia="Garamond" w:hAnsi="Garamond" w:cs="Calibri Light"/>
          <w:sz w:val="24"/>
          <w:szCs w:val="24"/>
          <w:lang w:val="en-GB" w:eastAsia="it-IT"/>
        </w:rPr>
        <w:t>red by the share in the last Stock Exchange session prior to each single transaction;</w:t>
      </w:r>
    </w:p>
    <w:p w14:paraId="595EAF1A" w14:textId="77777777" w:rsidR="005774B5" w:rsidRPr="00E81D91" w:rsidRDefault="00EE1FD3" w:rsidP="005774B5">
      <w:pPr>
        <w:widowControl w:val="0"/>
        <w:numPr>
          <w:ilvl w:val="0"/>
          <w:numId w:val="1"/>
        </w:numPr>
        <w:tabs>
          <w:tab w:val="left" w:pos="849"/>
        </w:tabs>
        <w:suppressAutoHyphens/>
        <w:autoSpaceDE w:val="0"/>
        <w:autoSpaceDN w:val="0"/>
        <w:spacing w:before="120" w:after="120" w:line="276" w:lineRule="auto"/>
        <w:ind w:right="103" w:hanging="584"/>
        <w:jc w:val="both"/>
        <w:rPr>
          <w:rFonts w:ascii="Garamond" w:eastAsia="Calibri" w:hAnsi="Garamond" w:cs="Calibri Light"/>
          <w:sz w:val="24"/>
          <w:szCs w:val="24"/>
          <w:lang w:val="en-GB" w:eastAsia="it-IT"/>
        </w:rPr>
      </w:pPr>
      <w:r w:rsidRPr="00E81D91">
        <w:rPr>
          <w:rFonts w:ascii="Garamond" w:eastAsia="Garamond" w:hAnsi="Garamond" w:cs="Calibri Light"/>
          <w:sz w:val="24"/>
          <w:szCs w:val="24"/>
          <w:lang w:val="en-GB" w:eastAsia="it-IT"/>
        </w:rPr>
        <w:t>on each trading day, it is not possible to purchase a volume exceeding 25% (twenty-five per c</w:t>
      </w:r>
      <w:r w:rsidRPr="00E81D91">
        <w:rPr>
          <w:rFonts w:ascii="Garamond" w:eastAsia="Garamond" w:hAnsi="Garamond" w:cs="Calibri Light"/>
          <w:sz w:val="24"/>
          <w:szCs w:val="24"/>
          <w:lang w:val="en-GB" w:eastAsia="it-IT"/>
        </w:rPr>
        <w:t>ent) of the average daily volume of shares in the trading place where the purchase is made; that volume calculation is based on exchanges in the 20 days prior to the purchase transactions.</w:t>
      </w:r>
    </w:p>
    <w:p w14:paraId="207058BB" w14:textId="77777777" w:rsidR="005774B5" w:rsidRPr="00E81D91" w:rsidRDefault="00EE1FD3" w:rsidP="005774B5">
      <w:pPr>
        <w:spacing w:after="120" w:line="276" w:lineRule="auto"/>
        <w:ind w:right="-7"/>
        <w:jc w:val="both"/>
        <w:rPr>
          <w:rFonts w:ascii="Garamond" w:eastAsia="Helvetica Neue" w:hAnsi="Garamond" w:cs="Calibri Light"/>
          <w:b/>
          <w:sz w:val="24"/>
          <w:szCs w:val="24"/>
          <w:lang w:val="en-GB" w:eastAsia="it-IT"/>
        </w:rPr>
      </w:pPr>
      <w:r w:rsidRPr="00E81D91">
        <w:rPr>
          <w:rFonts w:ascii="Garamond" w:eastAsia="Garamond" w:hAnsi="Garamond" w:cs="Calibri Light"/>
          <w:b/>
          <w:bCs/>
          <w:sz w:val="24"/>
          <w:szCs w:val="24"/>
          <w:lang w:val="en-GB" w:eastAsia="it-IT"/>
        </w:rPr>
        <w:t>METHODS BY WHICH THE PROGRAMME CAN BE CONDUCTED</w:t>
      </w:r>
    </w:p>
    <w:p w14:paraId="1108C113" w14:textId="77777777" w:rsidR="005774B5" w:rsidRPr="00E81D91" w:rsidRDefault="00EE1FD3" w:rsidP="005774B5">
      <w:pPr>
        <w:widowControl w:val="0"/>
        <w:suppressAutoHyphens/>
        <w:spacing w:after="120" w:line="276" w:lineRule="auto"/>
        <w:ind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To implement the Programme, in compliance with parameters set, the Company has appointed MIT SIM S.p.A. as the intermedia</w:t>
      </w:r>
      <w:r w:rsidRPr="00E81D91">
        <w:rPr>
          <w:rFonts w:ascii="Garamond" w:eastAsia="Garamond" w:hAnsi="Garamond" w:cs="Calibri Light"/>
          <w:kern w:val="1"/>
          <w:sz w:val="24"/>
          <w:szCs w:val="24"/>
          <w:lang w:val="en-GB" w:eastAsia="zh-CN" w:bidi="hi-IN"/>
        </w:rPr>
        <w:t>ry managing operations.</w:t>
      </w:r>
    </w:p>
    <w:p w14:paraId="17E39FCA" w14:textId="77777777" w:rsidR="005774B5" w:rsidRPr="00E81D91" w:rsidRDefault="00EE1FD3" w:rsidP="005774B5">
      <w:pPr>
        <w:widowControl w:val="0"/>
        <w:suppressAutoHyphens/>
        <w:spacing w:after="120" w:line="276" w:lineRule="auto"/>
        <w:ind w:left="133" w:right="101"/>
        <w:jc w:val="center"/>
        <w:rPr>
          <w:rFonts w:ascii="Garamond" w:eastAsia="Arial" w:hAnsi="Garamond" w:cs="Calibri Light"/>
          <w:kern w:val="1"/>
          <w:sz w:val="24"/>
          <w:szCs w:val="24"/>
          <w:lang w:val="en-GB" w:eastAsia="zh-CN" w:bidi="hi-IN"/>
        </w:rPr>
      </w:pPr>
      <w:r w:rsidRPr="00E81D91">
        <w:rPr>
          <w:rFonts w:ascii="Garamond" w:eastAsia="Arial" w:hAnsi="Garamond" w:cs="Calibri Light"/>
          <w:kern w:val="1"/>
          <w:sz w:val="24"/>
          <w:szCs w:val="24"/>
          <w:lang w:val="en-GB" w:eastAsia="zh-CN" w:bidi="hi-IN"/>
        </w:rPr>
        <w:t>***</w:t>
      </w:r>
    </w:p>
    <w:p w14:paraId="1275D078" w14:textId="77777777" w:rsidR="005774B5" w:rsidRPr="00E81D91" w:rsidRDefault="00EE1FD3" w:rsidP="005774B5">
      <w:pPr>
        <w:widowControl w:val="0"/>
        <w:suppressAutoHyphens/>
        <w:spacing w:after="120" w:line="276" w:lineRule="auto"/>
        <w:ind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Moreover, the Company notifies, -as part of the Programme- that, between 4 November 2022 and 11 November 2022 to perform the treasury share purchase au</w:t>
      </w:r>
      <w:r w:rsidRPr="00E81D91">
        <w:rPr>
          <w:rFonts w:ascii="Garamond" w:eastAsia="Garamond" w:hAnsi="Garamond" w:cs="Calibri Light"/>
          <w:kern w:val="1"/>
          <w:sz w:val="24"/>
          <w:szCs w:val="24"/>
          <w:lang w:val="en-GB" w:eastAsia="zh-CN" w:bidi="hi-IN"/>
        </w:rPr>
        <w:t>thorisation resolved on 10 June 2022, it purchased 800 treasury shares at an average price of about €5.1500 per share for a total countervalue of € 4,120.00.</w:t>
      </w:r>
    </w:p>
    <w:p w14:paraId="4CCB3507" w14:textId="77777777" w:rsidR="005774B5" w:rsidRPr="00E81D91" w:rsidRDefault="00EE1FD3" w:rsidP="005774B5">
      <w:pPr>
        <w:widowControl w:val="0"/>
        <w:suppressAutoHyphens/>
        <w:spacing w:after="120" w:line="276" w:lineRule="auto"/>
        <w:ind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The purchases were co</w:t>
      </w:r>
      <w:r w:rsidRPr="00E81D91">
        <w:rPr>
          <w:rFonts w:ascii="Garamond" w:eastAsia="Garamond" w:hAnsi="Garamond" w:cs="Calibri Light"/>
          <w:kern w:val="1"/>
          <w:sz w:val="24"/>
          <w:szCs w:val="24"/>
          <w:lang w:val="en-GB" w:eastAsia="zh-CN" w:bidi="hi-IN"/>
        </w:rPr>
        <w:t>ordinated by MIT SIM S.p.A. as the intermediary appointed, with full independence and autonomy, to implement the treasury share purchase programme.</w:t>
      </w:r>
    </w:p>
    <w:p w14:paraId="2ABE388B" w14:textId="77777777" w:rsidR="005774B5" w:rsidRPr="00E81D91" w:rsidRDefault="00EE1FD3" w:rsidP="005774B5">
      <w:pPr>
        <w:widowControl w:val="0"/>
        <w:suppressAutoHyphens/>
        <w:spacing w:after="120" w:line="276" w:lineRule="auto"/>
        <w:ind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Here below please find an aggre</w:t>
      </w:r>
      <w:r w:rsidRPr="00E81D91">
        <w:rPr>
          <w:rFonts w:ascii="Garamond" w:eastAsia="Garamond" w:hAnsi="Garamond" w:cs="Calibri Light"/>
          <w:kern w:val="1"/>
          <w:sz w:val="24"/>
          <w:szCs w:val="24"/>
          <w:lang w:val="en-GB" w:eastAsia="zh-CN" w:bidi="hi-IN"/>
        </w:rPr>
        <w:t>gated list of the purchases made on the ordinary shares of Gismondi 1754 code ISIN IT0005391138, on a daily basis in the aforementioned period:</w:t>
      </w:r>
    </w:p>
    <w:p w14:paraId="5E8BEEA8" w14:textId="77777777" w:rsidR="005774B5" w:rsidRPr="00E81D91" w:rsidRDefault="005774B5" w:rsidP="005774B5">
      <w:pPr>
        <w:widowControl w:val="0"/>
        <w:suppressAutoHyphens/>
        <w:spacing w:after="120" w:line="276" w:lineRule="auto"/>
        <w:ind w:right="101"/>
        <w:jc w:val="both"/>
        <w:rPr>
          <w:rFonts w:ascii="Garamond" w:eastAsia="Arial" w:hAnsi="Garamond" w:cs="Calibri Light"/>
          <w:kern w:val="1"/>
          <w:sz w:val="24"/>
          <w:szCs w:val="24"/>
          <w:lang w:val="en-GB"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460"/>
        <w:gridCol w:w="1701"/>
        <w:gridCol w:w="2294"/>
        <w:gridCol w:w="2140"/>
      </w:tblGrid>
      <w:tr w:rsidR="00E66E4E" w:rsidRPr="00E81D91" w14:paraId="713D5C0C" w14:textId="77777777" w:rsidTr="00A2370D">
        <w:trPr>
          <w:trHeight w:val="288"/>
          <w:jc w:val="center"/>
        </w:trPr>
        <w:tc>
          <w:tcPr>
            <w:tcW w:w="1848" w:type="dxa"/>
            <w:shd w:val="clear" w:color="auto" w:fill="FFFFFF"/>
            <w:noWrap/>
            <w:vAlign w:val="bottom"/>
            <w:hideMark/>
          </w:tcPr>
          <w:p w14:paraId="394F8BC8" w14:textId="77777777" w:rsidR="005774B5" w:rsidRPr="00E81D91" w:rsidRDefault="00EE1FD3" w:rsidP="005774B5">
            <w:pPr>
              <w:widowControl w:val="0"/>
              <w:suppressAutoHyphens/>
              <w:spacing w:after="120" w:line="276" w:lineRule="auto"/>
              <w:ind w:right="101"/>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Date</w:t>
            </w:r>
          </w:p>
        </w:tc>
        <w:tc>
          <w:tcPr>
            <w:tcW w:w="1460" w:type="dxa"/>
            <w:shd w:val="clear" w:color="auto" w:fill="FFFFFF"/>
            <w:noWrap/>
            <w:vAlign w:val="bottom"/>
            <w:hideMark/>
          </w:tcPr>
          <w:p w14:paraId="3BB24EF3" w14:textId="77777777" w:rsidR="005774B5" w:rsidRPr="00E81D91" w:rsidRDefault="00EE1FD3" w:rsidP="005774B5">
            <w:pPr>
              <w:widowControl w:val="0"/>
              <w:suppressAutoHyphens/>
              <w:spacing w:after="120" w:line="276" w:lineRule="auto"/>
              <w:ind w:right="101"/>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 xml:space="preserve">Quantity </w:t>
            </w:r>
          </w:p>
        </w:tc>
        <w:tc>
          <w:tcPr>
            <w:tcW w:w="1701" w:type="dxa"/>
            <w:shd w:val="clear" w:color="auto" w:fill="FFFFFF"/>
            <w:noWrap/>
            <w:vAlign w:val="bottom"/>
            <w:hideMark/>
          </w:tcPr>
          <w:p w14:paraId="428B8B35"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Share capital %</w:t>
            </w:r>
          </w:p>
        </w:tc>
        <w:tc>
          <w:tcPr>
            <w:tcW w:w="2294" w:type="dxa"/>
            <w:shd w:val="clear" w:color="auto" w:fill="FFFFFF"/>
            <w:noWrap/>
            <w:vAlign w:val="bottom"/>
            <w:hideMark/>
          </w:tcPr>
          <w:p w14:paraId="7FDE642F" w14:textId="5DFF2CD4" w:rsidR="005774B5" w:rsidRPr="00E81D91" w:rsidRDefault="00EE1FD3" w:rsidP="00CC390B">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 xml:space="preserve">Average Gross Price </w:t>
            </w:r>
          </w:p>
        </w:tc>
        <w:tc>
          <w:tcPr>
            <w:tcW w:w="2140" w:type="dxa"/>
            <w:shd w:val="clear" w:color="auto" w:fill="FFFFFF"/>
            <w:noWrap/>
            <w:vAlign w:val="bottom"/>
            <w:hideMark/>
          </w:tcPr>
          <w:p w14:paraId="38938BB6" w14:textId="77777777" w:rsidR="00CC390B" w:rsidRPr="00E81D91" w:rsidRDefault="00EE1FD3" w:rsidP="00CC390B">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Countervalue</w:t>
            </w:r>
          </w:p>
          <w:p w14:paraId="1B0D8894" w14:textId="3C2D7FFB" w:rsidR="005774B5" w:rsidRPr="00E81D91" w:rsidRDefault="00EE1FD3" w:rsidP="00CC390B">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(in Euro)</w:t>
            </w:r>
          </w:p>
        </w:tc>
      </w:tr>
      <w:tr w:rsidR="00E66E4E" w:rsidRPr="00E81D91" w14:paraId="2F83AD4F" w14:textId="77777777" w:rsidTr="00A2370D">
        <w:trPr>
          <w:trHeight w:val="288"/>
          <w:jc w:val="center"/>
        </w:trPr>
        <w:tc>
          <w:tcPr>
            <w:tcW w:w="1848" w:type="dxa"/>
            <w:shd w:val="clear" w:color="auto" w:fill="FFFFFF"/>
            <w:noWrap/>
            <w:hideMark/>
          </w:tcPr>
          <w:p w14:paraId="5A0120BC" w14:textId="77777777" w:rsidR="005774B5" w:rsidRPr="00E81D91" w:rsidRDefault="00EE1FD3" w:rsidP="005774B5">
            <w:pPr>
              <w:widowControl w:val="0"/>
              <w:suppressAutoHyphens/>
              <w:spacing w:after="120" w:line="276" w:lineRule="auto"/>
              <w:ind w:right="101"/>
              <w:jc w:val="both"/>
              <w:rPr>
                <w:rFonts w:ascii="Garamond" w:eastAsia="Times New Roman" w:hAnsi="Garamond" w:cs="Arial"/>
                <w:color w:val="000000"/>
                <w:kern w:val="1"/>
                <w:sz w:val="24"/>
                <w:szCs w:val="24"/>
                <w:lang w:val="en-GB" w:eastAsia="zh-CN" w:bidi="hi-IN"/>
              </w:rPr>
            </w:pPr>
            <w:r w:rsidRPr="00E81D91">
              <w:rPr>
                <w:rFonts w:ascii="Garamond" w:eastAsia="Garamond" w:hAnsi="Garamond" w:cs="Arial"/>
                <w:color w:val="000000"/>
                <w:kern w:val="1"/>
                <w:sz w:val="24"/>
                <w:szCs w:val="24"/>
                <w:lang w:val="en-GB" w:eastAsia="zh-CN" w:bidi="hi-IN"/>
              </w:rPr>
              <w:t>04/11/2022</w:t>
            </w:r>
          </w:p>
        </w:tc>
        <w:tc>
          <w:tcPr>
            <w:tcW w:w="1460" w:type="dxa"/>
            <w:shd w:val="clear" w:color="auto" w:fill="FFFFFF"/>
            <w:noWrap/>
            <w:hideMark/>
          </w:tcPr>
          <w:p w14:paraId="7851A72F" w14:textId="77777777" w:rsidR="005774B5" w:rsidRPr="00E81D91" w:rsidRDefault="00EE1FD3" w:rsidP="005774B5">
            <w:pPr>
              <w:widowControl w:val="0"/>
              <w:suppressAutoHyphens/>
              <w:spacing w:after="120" w:line="276" w:lineRule="auto"/>
              <w:ind w:right="101"/>
              <w:jc w:val="both"/>
              <w:rPr>
                <w:rFonts w:ascii="Garamond" w:eastAsia="Times New Roman" w:hAnsi="Garamond" w:cs="Arial"/>
                <w:color w:val="000000"/>
                <w:kern w:val="1"/>
                <w:sz w:val="24"/>
                <w:szCs w:val="24"/>
                <w:lang w:val="en-GB" w:eastAsia="zh-CN" w:bidi="hi-IN"/>
              </w:rPr>
            </w:pPr>
            <w:r w:rsidRPr="00E81D91">
              <w:rPr>
                <w:rFonts w:ascii="Garamond" w:eastAsia="Garamond" w:hAnsi="Garamond" w:cs="Arial"/>
                <w:color w:val="000000"/>
                <w:kern w:val="1"/>
                <w:sz w:val="24"/>
                <w:szCs w:val="24"/>
                <w:lang w:val="en-GB" w:eastAsia="zh-CN" w:bidi="hi-IN"/>
              </w:rPr>
              <w:t>800</w:t>
            </w:r>
          </w:p>
        </w:tc>
        <w:tc>
          <w:tcPr>
            <w:tcW w:w="1701" w:type="dxa"/>
            <w:shd w:val="clear" w:color="auto" w:fill="FFFFFF"/>
            <w:noWrap/>
            <w:hideMark/>
          </w:tcPr>
          <w:p w14:paraId="6F879C93"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color w:val="000000"/>
                <w:kern w:val="1"/>
                <w:sz w:val="24"/>
                <w:szCs w:val="24"/>
                <w:lang w:val="en-GB" w:eastAsia="zh-CN" w:bidi="hi-IN"/>
              </w:rPr>
            </w:pPr>
            <w:r w:rsidRPr="00E81D91">
              <w:rPr>
                <w:rFonts w:ascii="Garamond" w:eastAsia="Garamond" w:hAnsi="Garamond" w:cs="Arial"/>
                <w:color w:val="000000"/>
                <w:kern w:val="1"/>
                <w:sz w:val="24"/>
                <w:szCs w:val="24"/>
                <w:lang w:val="en-GB" w:eastAsia="zh-CN" w:bidi="hi-IN"/>
              </w:rPr>
              <w:t>0.0197%</w:t>
            </w:r>
          </w:p>
        </w:tc>
        <w:tc>
          <w:tcPr>
            <w:tcW w:w="2294" w:type="dxa"/>
            <w:shd w:val="clear" w:color="auto" w:fill="FFFFFF"/>
            <w:noWrap/>
            <w:hideMark/>
          </w:tcPr>
          <w:p w14:paraId="408E9FD3"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color w:val="000000"/>
                <w:kern w:val="1"/>
                <w:sz w:val="24"/>
                <w:szCs w:val="24"/>
                <w:lang w:val="en-GB" w:eastAsia="zh-CN" w:bidi="hi-IN"/>
              </w:rPr>
            </w:pPr>
            <w:r w:rsidRPr="00E81D91">
              <w:rPr>
                <w:rFonts w:ascii="Garamond" w:eastAsia="Garamond" w:hAnsi="Garamond" w:cs="Arial"/>
                <w:color w:val="000000"/>
                <w:kern w:val="1"/>
                <w:sz w:val="24"/>
                <w:szCs w:val="24"/>
                <w:lang w:val="en-GB" w:eastAsia="zh-CN" w:bidi="hi-IN"/>
              </w:rPr>
              <w:t>5.1500</w:t>
            </w:r>
          </w:p>
        </w:tc>
        <w:tc>
          <w:tcPr>
            <w:tcW w:w="2140" w:type="dxa"/>
            <w:shd w:val="clear" w:color="auto" w:fill="FFFFFF"/>
            <w:noWrap/>
            <w:hideMark/>
          </w:tcPr>
          <w:p w14:paraId="3A963533"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color w:val="000000"/>
                <w:kern w:val="1"/>
                <w:sz w:val="24"/>
                <w:szCs w:val="24"/>
                <w:lang w:val="en-GB" w:eastAsia="zh-CN" w:bidi="hi-IN"/>
              </w:rPr>
            </w:pPr>
            <w:r w:rsidRPr="00E81D91">
              <w:rPr>
                <w:rFonts w:ascii="Garamond" w:eastAsia="Garamond" w:hAnsi="Garamond" w:cs="Arial"/>
                <w:color w:val="000000"/>
                <w:kern w:val="1"/>
                <w:sz w:val="24"/>
                <w:szCs w:val="24"/>
                <w:lang w:val="en-GB" w:eastAsia="zh-CN" w:bidi="hi-IN"/>
              </w:rPr>
              <w:t>4,120.00</w:t>
            </w:r>
          </w:p>
        </w:tc>
      </w:tr>
      <w:tr w:rsidR="00E66E4E" w:rsidRPr="00E81D91" w14:paraId="507A3333" w14:textId="77777777" w:rsidTr="00A2370D">
        <w:trPr>
          <w:trHeight w:val="288"/>
          <w:jc w:val="center"/>
        </w:trPr>
        <w:tc>
          <w:tcPr>
            <w:tcW w:w="1848" w:type="dxa"/>
            <w:shd w:val="clear" w:color="auto" w:fill="FFFFFF"/>
            <w:noWrap/>
            <w:hideMark/>
          </w:tcPr>
          <w:p w14:paraId="699C89FC" w14:textId="77777777" w:rsidR="005774B5" w:rsidRPr="00E81D91" w:rsidRDefault="00EE1FD3" w:rsidP="005774B5">
            <w:pPr>
              <w:widowControl w:val="0"/>
              <w:suppressAutoHyphens/>
              <w:spacing w:after="120" w:line="276" w:lineRule="auto"/>
              <w:ind w:right="101"/>
              <w:jc w:val="both"/>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Total</w:t>
            </w:r>
          </w:p>
        </w:tc>
        <w:tc>
          <w:tcPr>
            <w:tcW w:w="1460" w:type="dxa"/>
            <w:shd w:val="clear" w:color="auto" w:fill="FFFFFF"/>
            <w:noWrap/>
            <w:hideMark/>
          </w:tcPr>
          <w:p w14:paraId="35668408" w14:textId="77777777" w:rsidR="005774B5" w:rsidRPr="00E81D91" w:rsidRDefault="00EE1FD3" w:rsidP="005774B5">
            <w:pPr>
              <w:widowControl w:val="0"/>
              <w:suppressAutoHyphens/>
              <w:spacing w:after="120" w:line="276" w:lineRule="auto"/>
              <w:ind w:right="101"/>
              <w:jc w:val="both"/>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800</w:t>
            </w:r>
          </w:p>
        </w:tc>
        <w:tc>
          <w:tcPr>
            <w:tcW w:w="1701" w:type="dxa"/>
            <w:shd w:val="clear" w:color="auto" w:fill="FFFFFF"/>
            <w:noWrap/>
            <w:hideMark/>
          </w:tcPr>
          <w:p w14:paraId="38E3E792"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0.0197%</w:t>
            </w:r>
          </w:p>
        </w:tc>
        <w:tc>
          <w:tcPr>
            <w:tcW w:w="2294" w:type="dxa"/>
            <w:shd w:val="clear" w:color="auto" w:fill="FFFFFF"/>
            <w:noWrap/>
            <w:hideMark/>
          </w:tcPr>
          <w:p w14:paraId="1A379C84"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5.1500</w:t>
            </w:r>
          </w:p>
        </w:tc>
        <w:tc>
          <w:tcPr>
            <w:tcW w:w="2140" w:type="dxa"/>
            <w:shd w:val="clear" w:color="auto" w:fill="FFFFFF"/>
            <w:noWrap/>
            <w:hideMark/>
          </w:tcPr>
          <w:p w14:paraId="627C2A93" w14:textId="77777777" w:rsidR="005774B5" w:rsidRPr="00E81D91" w:rsidRDefault="00EE1FD3" w:rsidP="005774B5">
            <w:pPr>
              <w:widowControl w:val="0"/>
              <w:suppressAutoHyphens/>
              <w:spacing w:after="0" w:line="276" w:lineRule="auto"/>
              <w:ind w:right="102"/>
              <w:jc w:val="right"/>
              <w:rPr>
                <w:rFonts w:ascii="Garamond" w:eastAsia="Times New Roman" w:hAnsi="Garamond" w:cs="Arial"/>
                <w:b/>
                <w:bCs/>
                <w:color w:val="000000"/>
                <w:kern w:val="1"/>
                <w:sz w:val="24"/>
                <w:szCs w:val="24"/>
                <w:lang w:val="en-GB" w:eastAsia="zh-CN" w:bidi="hi-IN"/>
              </w:rPr>
            </w:pPr>
            <w:r w:rsidRPr="00E81D91">
              <w:rPr>
                <w:rFonts w:ascii="Garamond" w:eastAsia="Garamond" w:hAnsi="Garamond" w:cs="Arial"/>
                <w:b/>
                <w:bCs/>
                <w:color w:val="000000"/>
                <w:kern w:val="1"/>
                <w:sz w:val="24"/>
                <w:szCs w:val="24"/>
                <w:lang w:val="en-GB" w:eastAsia="zh-CN" w:bidi="hi-IN"/>
              </w:rPr>
              <w:t>4,120.00</w:t>
            </w:r>
          </w:p>
        </w:tc>
      </w:tr>
    </w:tbl>
    <w:p w14:paraId="7B0B17A5" w14:textId="77777777" w:rsidR="005774B5" w:rsidRPr="00E81D91" w:rsidRDefault="005774B5" w:rsidP="005774B5">
      <w:pPr>
        <w:widowControl w:val="0"/>
        <w:suppressAutoHyphens/>
        <w:spacing w:after="120" w:line="276" w:lineRule="auto"/>
        <w:ind w:right="101"/>
        <w:jc w:val="both"/>
        <w:rPr>
          <w:rFonts w:ascii="Garamond" w:eastAsia="SimSun" w:hAnsi="Garamond" w:cs="Arial"/>
          <w:kern w:val="1"/>
          <w:sz w:val="24"/>
          <w:szCs w:val="24"/>
          <w:lang w:val="en-GB" w:eastAsia="zh-CN" w:bidi="hi-IN"/>
        </w:rPr>
      </w:pPr>
    </w:p>
    <w:p w14:paraId="73971943" w14:textId="77777777" w:rsidR="005774B5" w:rsidRPr="00E81D91" w:rsidRDefault="005774B5" w:rsidP="005774B5">
      <w:pPr>
        <w:widowControl w:val="0"/>
        <w:suppressAutoHyphens/>
        <w:spacing w:after="120" w:line="276" w:lineRule="auto"/>
        <w:ind w:right="101"/>
        <w:jc w:val="both"/>
        <w:rPr>
          <w:rFonts w:ascii="Garamond" w:eastAsia="SimSun" w:hAnsi="Garamond" w:cs="Arial"/>
          <w:kern w:val="1"/>
          <w:sz w:val="24"/>
          <w:szCs w:val="24"/>
          <w:lang w:val="en-GB" w:eastAsia="zh-CN" w:bidi="hi-IN"/>
        </w:rPr>
      </w:pPr>
    </w:p>
    <w:p w14:paraId="06B11727" w14:textId="77777777" w:rsidR="005774B5" w:rsidRPr="00E81D91" w:rsidRDefault="00EE1FD3" w:rsidP="005774B5">
      <w:pPr>
        <w:widowControl w:val="0"/>
        <w:suppressAutoHyphens/>
        <w:spacing w:after="140" w:line="288" w:lineRule="auto"/>
        <w:ind w:right="101"/>
        <w:jc w:val="both"/>
        <w:rPr>
          <w:rFonts w:ascii="Garamond" w:eastAsia="Arial" w:hAnsi="Garamond" w:cs="Calibri Light"/>
          <w:kern w:val="1"/>
          <w:sz w:val="24"/>
          <w:szCs w:val="24"/>
          <w:lang w:val="en-GB" w:eastAsia="zh-CN" w:bidi="hi-IN"/>
        </w:rPr>
      </w:pPr>
      <w:r w:rsidRPr="00E81D91">
        <w:rPr>
          <w:rFonts w:ascii="Garamond" w:eastAsia="Garamond" w:hAnsi="Garamond" w:cs="Calibri Light"/>
          <w:kern w:val="1"/>
          <w:sz w:val="24"/>
          <w:szCs w:val="24"/>
          <w:lang w:val="en-GB" w:eastAsia="zh-CN" w:bidi="hi-IN"/>
        </w:rPr>
        <w:t xml:space="preserve">Therefore, as at 11 November 2022 Gismondi 1754 holds 800 treasury shares, equal to </w:t>
      </w:r>
      <w:r w:rsidRPr="00EE1FD3">
        <w:rPr>
          <w:rFonts w:ascii="Garamond" w:eastAsia="Garamond" w:hAnsi="Garamond" w:cs="Calibri Light"/>
          <w:kern w:val="1"/>
          <w:sz w:val="24"/>
          <w:szCs w:val="24"/>
          <w:highlight w:val="yellow"/>
          <w:lang w:val="en-GB" w:eastAsia="zh-CN" w:bidi="hi-IN"/>
        </w:rPr>
        <w:t>0.0195%</w:t>
      </w:r>
      <w:r w:rsidRPr="00E81D91">
        <w:rPr>
          <w:rFonts w:ascii="Garamond" w:eastAsia="Garamond" w:hAnsi="Garamond" w:cs="Calibri Light"/>
          <w:kern w:val="1"/>
          <w:sz w:val="24"/>
          <w:szCs w:val="24"/>
          <w:lang w:val="en-GB" w:eastAsia="zh-CN" w:bidi="hi-IN"/>
        </w:rPr>
        <w:t xml:space="preserve"> of the relative share value underwritten and paid up.</w:t>
      </w:r>
    </w:p>
    <w:p w14:paraId="52D1F7BA" w14:textId="77777777" w:rsidR="005774B5" w:rsidRPr="00E81D91" w:rsidRDefault="005774B5" w:rsidP="005774B5">
      <w:pPr>
        <w:suppressAutoHyphens/>
        <w:spacing w:after="0" w:line="240" w:lineRule="auto"/>
        <w:rPr>
          <w:rFonts w:ascii="Liberation Serif" w:eastAsia="SimSun" w:hAnsi="Liberation Serif" w:cs="Arial"/>
          <w:kern w:val="1"/>
          <w:sz w:val="24"/>
          <w:szCs w:val="24"/>
          <w:lang w:val="en-GB" w:eastAsia="zh-CN" w:bidi="hi-IN"/>
        </w:rPr>
      </w:pPr>
    </w:p>
    <w:p w14:paraId="5C197C20" w14:textId="77777777" w:rsidR="005774B5" w:rsidRPr="00E81D91" w:rsidRDefault="005774B5" w:rsidP="005774B5">
      <w:pPr>
        <w:suppressAutoHyphens/>
        <w:spacing w:after="0" w:line="240" w:lineRule="auto"/>
        <w:rPr>
          <w:rFonts w:ascii="Liberation Serif" w:eastAsia="SimSun" w:hAnsi="Liberation Serif" w:cs="Arial"/>
          <w:kern w:val="1"/>
          <w:sz w:val="24"/>
          <w:szCs w:val="24"/>
          <w:lang w:val="en-GB" w:eastAsia="zh-CN" w:bidi="hi-IN"/>
        </w:rPr>
      </w:pPr>
    </w:p>
    <w:p w14:paraId="58BBC47F" w14:textId="77777777" w:rsidR="005774B5" w:rsidRPr="00E81D91" w:rsidRDefault="005774B5" w:rsidP="005774B5">
      <w:pPr>
        <w:suppressAutoHyphens/>
        <w:spacing w:after="0" w:line="240" w:lineRule="auto"/>
        <w:rPr>
          <w:rFonts w:ascii="Liberation Serif" w:eastAsia="SimSun" w:hAnsi="Liberation Serif" w:cs="Arial"/>
          <w:kern w:val="1"/>
          <w:sz w:val="24"/>
          <w:szCs w:val="24"/>
          <w:lang w:val="en-GB" w:eastAsia="zh-CN" w:bidi="hi-IN"/>
        </w:rPr>
      </w:pPr>
    </w:p>
    <w:p w14:paraId="366E130E" w14:textId="77777777" w:rsidR="005774B5" w:rsidRPr="00E81D91" w:rsidRDefault="005774B5" w:rsidP="005774B5">
      <w:pPr>
        <w:suppressAutoHyphens/>
        <w:spacing w:after="0" w:line="240" w:lineRule="auto"/>
        <w:rPr>
          <w:rFonts w:ascii="Liberation Serif" w:eastAsia="SimSun" w:hAnsi="Liberation Serif" w:cs="Arial"/>
          <w:kern w:val="1"/>
          <w:sz w:val="24"/>
          <w:szCs w:val="24"/>
          <w:lang w:val="en-GB" w:eastAsia="zh-CN" w:bidi="hi-IN"/>
        </w:rPr>
      </w:pPr>
    </w:p>
    <w:p w14:paraId="37DDCE89" w14:textId="77777777" w:rsidR="005774B5" w:rsidRPr="00E81D91" w:rsidRDefault="005774B5" w:rsidP="005774B5">
      <w:pPr>
        <w:suppressAutoHyphens/>
        <w:spacing w:after="0" w:line="240" w:lineRule="auto"/>
        <w:rPr>
          <w:rFonts w:ascii="Liberation Serif" w:eastAsia="SimSun" w:hAnsi="Liberation Serif" w:cs="Arial"/>
          <w:kern w:val="1"/>
          <w:sz w:val="24"/>
          <w:szCs w:val="24"/>
          <w:lang w:val="en-GB" w:eastAsia="zh-CN" w:bidi="hi-IN"/>
        </w:rPr>
      </w:pPr>
    </w:p>
    <w:p w14:paraId="53493E6D" w14:textId="77777777" w:rsidR="005774B5" w:rsidRPr="00E81D91" w:rsidRDefault="00EE1FD3" w:rsidP="005774B5">
      <w:pPr>
        <w:widowControl w:val="0"/>
        <w:suppressAutoHyphens/>
        <w:spacing w:after="0" w:line="240" w:lineRule="auto"/>
        <w:ind w:right="102"/>
        <w:jc w:val="both"/>
        <w:rPr>
          <w:rFonts w:ascii="Garamond" w:eastAsia="SimSun" w:hAnsi="Garamond" w:cs="Arial"/>
          <w:b/>
          <w:bCs/>
          <w:kern w:val="1"/>
          <w:sz w:val="24"/>
          <w:szCs w:val="24"/>
          <w:lang w:val="en-GB" w:eastAsia="zh-CN" w:bidi="hi-IN"/>
        </w:rPr>
      </w:pPr>
      <w:r w:rsidRPr="00E81D91">
        <w:rPr>
          <w:rFonts w:ascii="Garamond" w:eastAsia="Garamond" w:hAnsi="Garamond" w:cs="Arial"/>
          <w:b/>
          <w:bCs/>
          <w:kern w:val="1"/>
          <w:sz w:val="24"/>
          <w:szCs w:val="24"/>
          <w:lang w:val="en-GB" w:eastAsia="zh-CN" w:bidi="hi-IN"/>
        </w:rPr>
        <w:t>About Gismondi 1754:</w:t>
      </w:r>
    </w:p>
    <w:p w14:paraId="3BECC193" w14:textId="77777777" w:rsidR="005774B5" w:rsidRPr="00E81D91" w:rsidRDefault="00EE1FD3" w:rsidP="005774B5">
      <w:pPr>
        <w:widowControl w:val="0"/>
        <w:suppressAutoHyphens/>
        <w:spacing w:after="0" w:line="240" w:lineRule="auto"/>
        <w:ind w:right="102"/>
        <w:jc w:val="both"/>
        <w:rPr>
          <w:rFonts w:ascii="Garamond" w:eastAsia="SimSun" w:hAnsi="Garamond" w:cs="Arial"/>
          <w:b/>
          <w:bCs/>
          <w:i/>
          <w:iCs/>
          <w:kern w:val="1"/>
          <w:sz w:val="24"/>
          <w:szCs w:val="24"/>
          <w:lang w:val="en-GB" w:eastAsia="zh-CN" w:bidi="hi-IN"/>
        </w:rPr>
      </w:pPr>
      <w:r w:rsidRPr="00E81D91">
        <w:rPr>
          <w:rFonts w:ascii="Garamond" w:eastAsia="Garamond" w:hAnsi="Garamond" w:cs="Arial"/>
          <w:b/>
          <w:bCs/>
          <w:i/>
          <w:iCs/>
          <w:kern w:val="1"/>
          <w:sz w:val="24"/>
          <w:szCs w:val="24"/>
          <w:lang w:val="en-GB" w:eastAsia="zh-CN" w:bidi="hi-IN"/>
        </w:rPr>
        <w:t>Handmade in It</w:t>
      </w:r>
      <w:r w:rsidRPr="00E81D91">
        <w:rPr>
          <w:rFonts w:ascii="Garamond" w:eastAsia="Garamond" w:hAnsi="Garamond" w:cs="Arial"/>
          <w:b/>
          <w:bCs/>
          <w:i/>
          <w:iCs/>
          <w:kern w:val="1"/>
          <w:sz w:val="24"/>
          <w:szCs w:val="24"/>
          <w:lang w:val="en-GB" w:eastAsia="zh-CN" w:bidi="hi-IN"/>
        </w:rPr>
        <w:t>aly by Italians</w:t>
      </w:r>
    </w:p>
    <w:p w14:paraId="04CB066A" w14:textId="77777777" w:rsidR="005774B5" w:rsidRPr="00E81D91" w:rsidRDefault="00EE1FD3" w:rsidP="005774B5">
      <w:pPr>
        <w:widowControl w:val="0"/>
        <w:suppressAutoHyphens/>
        <w:spacing w:after="0" w:line="240" w:lineRule="auto"/>
        <w:ind w:right="102"/>
        <w:jc w:val="both"/>
        <w:rPr>
          <w:rFonts w:ascii="Garamond" w:eastAsia="SimSun" w:hAnsi="Garamond" w:cs="Arial"/>
          <w:i/>
          <w:iCs/>
          <w:kern w:val="1"/>
          <w:sz w:val="24"/>
          <w:szCs w:val="24"/>
          <w:lang w:val="en-GB" w:eastAsia="zh-CN" w:bidi="hi-IN"/>
        </w:rPr>
      </w:pPr>
      <w:r w:rsidRPr="00E81D91">
        <w:rPr>
          <w:rFonts w:ascii="Garamond" w:eastAsia="Garamond" w:hAnsi="Garamond" w:cs="Arial"/>
          <w:i/>
          <w:iCs/>
          <w:kern w:val="1"/>
          <w:sz w:val="24"/>
          <w:szCs w:val="24"/>
          <w:lang w:val="en-GB" w:eastAsia="zh-CN" w:bidi="hi-IN"/>
        </w:rPr>
        <w:t>Established in Genoa in 1754 with Giovan Battista Gismondi (supplier of Pope Pio VI and the Doria family), Gismondi 1754 - managed by Massimo Gismondi - has achiev</w:t>
      </w:r>
      <w:r w:rsidRPr="00E81D91">
        <w:rPr>
          <w:rFonts w:ascii="Garamond" w:eastAsia="Garamond" w:hAnsi="Garamond" w:cs="Arial"/>
          <w:i/>
          <w:iCs/>
          <w:kern w:val="1"/>
          <w:sz w:val="24"/>
          <w:szCs w:val="24"/>
          <w:lang w:val="en-GB" w:eastAsia="zh-CN" w:bidi="hi-IN"/>
        </w:rPr>
        <w:t>ed a globally acknowledged excellence and competence in jewellery. Massimo Gismondi, known for considering jewels works of art, expresses centuries of craftsmanship and a rich history in his creations, matched with a contemporary style handing down a taste</w:t>
      </w:r>
      <w:r w:rsidRPr="00E81D91">
        <w:rPr>
          <w:rFonts w:ascii="Garamond" w:eastAsia="Garamond" w:hAnsi="Garamond" w:cs="Arial"/>
          <w:i/>
          <w:iCs/>
          <w:kern w:val="1"/>
          <w:sz w:val="24"/>
          <w:szCs w:val="24"/>
          <w:lang w:val="en-GB" w:eastAsia="zh-CN" w:bidi="hi-IN"/>
        </w:rPr>
        <w:t xml:space="preserve"> for beauty, a seven-generation company inheritance.</w:t>
      </w:r>
    </w:p>
    <w:p w14:paraId="7BC1B418" w14:textId="77777777" w:rsidR="005774B5" w:rsidRPr="00E81D91" w:rsidRDefault="005774B5" w:rsidP="005774B5">
      <w:pPr>
        <w:widowControl w:val="0"/>
        <w:suppressAutoHyphens/>
        <w:spacing w:after="0" w:line="240" w:lineRule="auto"/>
        <w:ind w:right="102"/>
        <w:jc w:val="both"/>
        <w:rPr>
          <w:rFonts w:ascii="Garamond" w:eastAsia="SimSun" w:hAnsi="Garamond" w:cs="Arial"/>
          <w:b/>
          <w:bCs/>
          <w:kern w:val="1"/>
          <w:sz w:val="24"/>
          <w:szCs w:val="24"/>
          <w:lang w:val="en-GB"/>
        </w:rPr>
      </w:pPr>
    </w:p>
    <w:p w14:paraId="512707A3" w14:textId="77777777" w:rsidR="005774B5" w:rsidRPr="00E81D91" w:rsidRDefault="005774B5" w:rsidP="005774B5">
      <w:pPr>
        <w:widowControl w:val="0"/>
        <w:suppressAutoHyphens/>
        <w:spacing w:after="0" w:line="240" w:lineRule="auto"/>
        <w:ind w:right="102"/>
        <w:jc w:val="both"/>
        <w:rPr>
          <w:rFonts w:ascii="Garamond" w:eastAsia="SimSun" w:hAnsi="Garamond" w:cs="Arial"/>
          <w:b/>
          <w:bCs/>
          <w:kern w:val="1"/>
          <w:sz w:val="24"/>
          <w:szCs w:val="24"/>
          <w:lang w:val="en-GB"/>
        </w:rPr>
      </w:pPr>
    </w:p>
    <w:p w14:paraId="615CC910" w14:textId="77777777" w:rsidR="005774B5" w:rsidRPr="00E81D91" w:rsidRDefault="00EE1FD3" w:rsidP="005774B5">
      <w:pPr>
        <w:widowControl w:val="0"/>
        <w:suppressAutoHyphens/>
        <w:spacing w:after="0" w:line="240" w:lineRule="auto"/>
        <w:ind w:right="102"/>
        <w:jc w:val="both"/>
        <w:rPr>
          <w:rFonts w:ascii="Garamond" w:eastAsia="SimSun" w:hAnsi="Garamond" w:cs="Arial"/>
          <w:b/>
          <w:bCs/>
          <w:kern w:val="1"/>
          <w:sz w:val="24"/>
          <w:szCs w:val="24"/>
          <w:lang w:val="en-GB"/>
        </w:rPr>
      </w:pPr>
      <w:r w:rsidRPr="00E81D91">
        <w:rPr>
          <w:rFonts w:ascii="Garamond" w:eastAsia="Garamond" w:hAnsi="Garamond" w:cs="Arial"/>
          <w:b/>
          <w:bCs/>
          <w:kern w:val="1"/>
          <w:sz w:val="24"/>
          <w:szCs w:val="24"/>
          <w:lang w:val="en-GB"/>
        </w:rPr>
        <w:t>Gismondi 1754 S.p.A.</w:t>
      </w:r>
    </w:p>
    <w:p w14:paraId="3F9A4447"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 xml:space="preserve">Via San Vincenzo, 51/1 </w:t>
      </w:r>
      <w:r w:rsidRPr="00E81D91">
        <w:rPr>
          <w:rFonts w:ascii="Garamond" w:eastAsia="Garamond" w:hAnsi="Garamond" w:cs="Arial"/>
          <w:kern w:val="1"/>
          <w:sz w:val="24"/>
          <w:szCs w:val="24"/>
          <w:lang w:val="en-GB"/>
        </w:rPr>
        <w:t>Genoa</w:t>
      </w:r>
    </w:p>
    <w:p w14:paraId="1C3A2CFD"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Contact for Investors:  Marcello Lacedra</w:t>
      </w:r>
    </w:p>
    <w:p w14:paraId="7EDCAD8A"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Tel.:  +39 010-4074142 Email:  investor.relations@gismo</w:t>
      </w:r>
      <w:r w:rsidRPr="00E81D91">
        <w:rPr>
          <w:rFonts w:ascii="Garamond" w:eastAsia="Garamond" w:hAnsi="Garamond" w:cs="Arial"/>
          <w:kern w:val="1"/>
          <w:sz w:val="24"/>
          <w:szCs w:val="24"/>
          <w:lang w:val="en-GB"/>
        </w:rPr>
        <w:t>ndi1754.com</w:t>
      </w:r>
    </w:p>
    <w:p w14:paraId="72FA79D8" w14:textId="77777777" w:rsidR="005774B5" w:rsidRPr="00E81D91" w:rsidRDefault="005774B5" w:rsidP="005774B5">
      <w:pPr>
        <w:widowControl w:val="0"/>
        <w:suppressAutoHyphens/>
        <w:spacing w:after="0" w:line="240" w:lineRule="auto"/>
        <w:ind w:right="102"/>
        <w:jc w:val="both"/>
        <w:rPr>
          <w:rFonts w:ascii="Garamond" w:eastAsia="SimSun" w:hAnsi="Garamond" w:cs="Arial"/>
          <w:b/>
          <w:bCs/>
          <w:kern w:val="1"/>
          <w:sz w:val="24"/>
          <w:szCs w:val="24"/>
          <w:lang w:val="en-GB"/>
        </w:rPr>
      </w:pPr>
    </w:p>
    <w:p w14:paraId="0E215745" w14:textId="77777777" w:rsidR="005774B5" w:rsidRPr="00E81D91" w:rsidRDefault="00EE1FD3" w:rsidP="005774B5">
      <w:pPr>
        <w:widowControl w:val="0"/>
        <w:suppressAutoHyphens/>
        <w:spacing w:after="0" w:line="240" w:lineRule="auto"/>
        <w:ind w:right="102"/>
        <w:jc w:val="both"/>
        <w:rPr>
          <w:rFonts w:ascii="Garamond" w:eastAsia="SimSun" w:hAnsi="Garamond" w:cs="Arial"/>
          <w:b/>
          <w:bCs/>
          <w:kern w:val="1"/>
          <w:sz w:val="24"/>
          <w:szCs w:val="24"/>
          <w:lang w:val="en-GB"/>
        </w:rPr>
      </w:pPr>
      <w:r w:rsidRPr="00E81D91">
        <w:rPr>
          <w:rFonts w:ascii="Garamond" w:eastAsia="Garamond" w:hAnsi="Garamond" w:cs="Arial"/>
          <w:b/>
          <w:bCs/>
          <w:kern w:val="1"/>
          <w:sz w:val="24"/>
          <w:szCs w:val="24"/>
          <w:lang w:val="en-GB"/>
        </w:rPr>
        <w:t>EGA</w:t>
      </w:r>
    </w:p>
    <w:p w14:paraId="301DB906"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Banca Profilo S.p.A. Via Cerva, 28</w:t>
      </w:r>
    </w:p>
    <w:p w14:paraId="7F4FF58A"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20122 Milan,</w:t>
      </w:r>
    </w:p>
    <w:p w14:paraId="398BB195"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hyperlink r:id="rId5" w:history="1">
        <w:r w:rsidRPr="00E81D91">
          <w:rPr>
            <w:rFonts w:ascii="Garamond" w:eastAsia="Garamond" w:hAnsi="Garamond" w:cs="Arial"/>
            <w:color w:val="000080"/>
            <w:sz w:val="24"/>
            <w:szCs w:val="24"/>
            <w:u w:val="single"/>
            <w:lang w:val="en-GB"/>
          </w:rPr>
          <w:t>alessio.muretti@bancaprofilo.it</w:t>
        </w:r>
      </w:hyperlink>
      <w:r w:rsidRPr="00E81D91">
        <w:rPr>
          <w:rFonts w:ascii="Garamond" w:eastAsia="Garamond" w:hAnsi="Garamond" w:cs="Arial"/>
          <w:sz w:val="24"/>
          <w:szCs w:val="24"/>
          <w:lang w:val="en-GB"/>
        </w:rPr>
        <w:t xml:space="preserve"> </w:t>
      </w:r>
    </w:p>
    <w:p w14:paraId="3F28841C"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Tel. +39 02 8584808</w:t>
      </w:r>
    </w:p>
    <w:p w14:paraId="1060FDFE" w14:textId="77777777" w:rsidR="005774B5" w:rsidRPr="00E81D91" w:rsidRDefault="005774B5" w:rsidP="005774B5">
      <w:pPr>
        <w:widowControl w:val="0"/>
        <w:suppressAutoHyphens/>
        <w:spacing w:after="0" w:line="240" w:lineRule="auto"/>
        <w:ind w:right="102"/>
        <w:jc w:val="both"/>
        <w:rPr>
          <w:rFonts w:ascii="Garamond" w:eastAsia="SimSun" w:hAnsi="Garamond" w:cs="Arial"/>
          <w:b/>
          <w:bCs/>
          <w:kern w:val="1"/>
          <w:sz w:val="24"/>
          <w:szCs w:val="24"/>
          <w:lang w:val="en-GB"/>
        </w:rPr>
      </w:pPr>
    </w:p>
    <w:p w14:paraId="73FCA840" w14:textId="77777777" w:rsidR="005774B5" w:rsidRPr="00E81D91" w:rsidRDefault="005774B5" w:rsidP="005774B5">
      <w:pPr>
        <w:widowControl w:val="0"/>
        <w:suppressAutoHyphens/>
        <w:spacing w:after="0" w:line="240" w:lineRule="auto"/>
        <w:ind w:right="102"/>
        <w:jc w:val="both"/>
        <w:rPr>
          <w:rFonts w:ascii="Garamond" w:eastAsia="SimSun" w:hAnsi="Garamond" w:cs="Arial"/>
          <w:b/>
          <w:bCs/>
          <w:kern w:val="1"/>
          <w:sz w:val="24"/>
          <w:szCs w:val="24"/>
          <w:lang w:val="en-GB"/>
        </w:rPr>
      </w:pPr>
    </w:p>
    <w:p w14:paraId="3ECF9B2F" w14:textId="77777777" w:rsidR="005774B5" w:rsidRPr="00E81D91" w:rsidRDefault="00EE1FD3" w:rsidP="005774B5">
      <w:pPr>
        <w:widowControl w:val="0"/>
        <w:suppressAutoHyphens/>
        <w:spacing w:after="0" w:line="240" w:lineRule="auto"/>
        <w:ind w:right="102"/>
        <w:jc w:val="both"/>
        <w:rPr>
          <w:rFonts w:ascii="Garamond" w:eastAsia="SimSun" w:hAnsi="Garamond" w:cs="Arial"/>
          <w:b/>
          <w:bCs/>
          <w:kern w:val="1"/>
          <w:sz w:val="24"/>
          <w:szCs w:val="24"/>
          <w:lang w:val="en-GB"/>
        </w:rPr>
      </w:pPr>
      <w:r w:rsidRPr="00E81D91">
        <w:rPr>
          <w:rFonts w:ascii="Garamond" w:eastAsia="Garamond" w:hAnsi="Garamond" w:cs="Arial"/>
          <w:b/>
          <w:bCs/>
          <w:kern w:val="1"/>
          <w:sz w:val="24"/>
          <w:szCs w:val="24"/>
          <w:lang w:val="en-GB"/>
        </w:rPr>
        <w:t>P</w:t>
      </w:r>
      <w:r w:rsidRPr="00E81D91">
        <w:rPr>
          <w:rFonts w:ascii="Garamond" w:eastAsia="Garamond" w:hAnsi="Garamond" w:cs="Arial"/>
          <w:b/>
          <w:bCs/>
          <w:kern w:val="1"/>
          <w:sz w:val="24"/>
          <w:szCs w:val="24"/>
          <w:lang w:val="en-GB"/>
        </w:rPr>
        <w:t>ress Office</w:t>
      </w:r>
    </w:p>
    <w:p w14:paraId="3D811E56" w14:textId="77777777" w:rsidR="005774B5" w:rsidRPr="00E81D91" w:rsidRDefault="00EE1FD3" w:rsidP="005774B5">
      <w:pPr>
        <w:widowControl w:val="0"/>
        <w:suppressAutoHyphens/>
        <w:spacing w:after="0" w:line="240" w:lineRule="auto"/>
        <w:ind w:right="102"/>
        <w:jc w:val="both"/>
        <w:rPr>
          <w:rFonts w:ascii="Garamond" w:eastAsia="SimSun" w:hAnsi="Garamond" w:cs="Arial"/>
          <w:b/>
          <w:bCs/>
          <w:kern w:val="1"/>
          <w:sz w:val="24"/>
          <w:szCs w:val="24"/>
          <w:lang w:val="en-GB"/>
        </w:rPr>
      </w:pPr>
      <w:r w:rsidRPr="00E81D91">
        <w:rPr>
          <w:rFonts w:ascii="Garamond" w:eastAsia="Garamond" w:hAnsi="Garamond" w:cs="Arial"/>
          <w:b/>
          <w:bCs/>
          <w:kern w:val="1"/>
          <w:sz w:val="24"/>
          <w:szCs w:val="24"/>
          <w:lang w:val="en-GB"/>
        </w:rPr>
        <w:t>Spriano Communication &amp; Partners</w:t>
      </w:r>
    </w:p>
    <w:p w14:paraId="1D758EEE"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Via Santa Radegonda, 16 20121 Milan</w:t>
      </w:r>
    </w:p>
    <w:p w14:paraId="41F8F117"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Matteo Russo Mob: +39 347 9834 881</w:t>
      </w:r>
    </w:p>
    <w:p w14:paraId="0645D4C7"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hyperlink r:id="rId6" w:history="1">
        <w:r w:rsidRPr="00E81D91">
          <w:rPr>
            <w:rFonts w:ascii="Garamond" w:eastAsia="Garamond" w:hAnsi="Garamond" w:cs="Arial"/>
            <w:color w:val="000080"/>
            <w:sz w:val="24"/>
            <w:szCs w:val="24"/>
            <w:u w:val="single"/>
            <w:lang w:val="en-GB"/>
          </w:rPr>
          <w:t>mrusso@sprianocommunication.com</w:t>
        </w:r>
      </w:hyperlink>
    </w:p>
    <w:p w14:paraId="40008C77"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r w:rsidRPr="00E81D91">
        <w:rPr>
          <w:rFonts w:ascii="Garamond" w:eastAsia="Garamond" w:hAnsi="Garamond" w:cs="Arial"/>
          <w:kern w:val="1"/>
          <w:sz w:val="24"/>
          <w:szCs w:val="24"/>
          <w:lang w:val="en-GB"/>
        </w:rPr>
        <w:t>Cristina Tronconi Mob: +39 346 0477 901</w:t>
      </w:r>
    </w:p>
    <w:p w14:paraId="70199794" w14:textId="77777777" w:rsidR="005774B5" w:rsidRPr="00E81D91" w:rsidRDefault="00EE1FD3" w:rsidP="005774B5">
      <w:pPr>
        <w:widowControl w:val="0"/>
        <w:suppressAutoHyphens/>
        <w:spacing w:after="0" w:line="240" w:lineRule="auto"/>
        <w:ind w:right="102"/>
        <w:jc w:val="both"/>
        <w:rPr>
          <w:rFonts w:ascii="Garamond" w:eastAsia="SimSun" w:hAnsi="Garamond" w:cs="Arial"/>
          <w:kern w:val="1"/>
          <w:sz w:val="24"/>
          <w:szCs w:val="24"/>
          <w:lang w:val="en-GB"/>
        </w:rPr>
      </w:pPr>
      <w:hyperlink r:id="rId7" w:history="1">
        <w:r w:rsidRPr="00E81D91">
          <w:rPr>
            <w:rFonts w:ascii="Garamond" w:eastAsia="Garamond" w:hAnsi="Garamond" w:cs="Arial"/>
            <w:color w:val="000080"/>
            <w:sz w:val="24"/>
            <w:szCs w:val="24"/>
            <w:u w:val="single"/>
            <w:lang w:val="en-GB"/>
          </w:rPr>
          <w:t>ctronconi@sprianocommunication.com</w:t>
        </w:r>
      </w:hyperlink>
    </w:p>
    <w:p w14:paraId="7136FD1F" w14:textId="77777777" w:rsidR="00CF1A33" w:rsidRPr="00E81D91" w:rsidRDefault="00CF1A33">
      <w:pPr>
        <w:rPr>
          <w:lang w:val="en-GB"/>
        </w:rPr>
      </w:pPr>
    </w:p>
    <w:sectPr w:rsidR="00CF1A33" w:rsidRPr="00E81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11347"/>
    <w:multiLevelType w:val="hybridMultilevel"/>
    <w:tmpl w:val="BFC8FA32"/>
    <w:lvl w:ilvl="0" w:tplc="5BE27508">
      <w:start w:val="1"/>
      <w:numFmt w:val="lowerRoman"/>
      <w:lvlText w:val="%1."/>
      <w:lvlJc w:val="left"/>
      <w:pPr>
        <w:ind w:left="848" w:hanging="473"/>
      </w:pPr>
      <w:rPr>
        <w:rFonts w:ascii="Garamond" w:eastAsia="Calibri" w:hAnsi="Garamond" w:cs="Calibri" w:hint="default"/>
        <w:w w:val="100"/>
        <w:sz w:val="24"/>
        <w:szCs w:val="24"/>
        <w:lang w:val="it-IT" w:eastAsia="en-US" w:bidi="ar-SA"/>
      </w:rPr>
    </w:lvl>
    <w:lvl w:ilvl="1" w:tplc="2CAC0EB4">
      <w:numFmt w:val="bullet"/>
      <w:lvlText w:val="•"/>
      <w:lvlJc w:val="left"/>
      <w:pPr>
        <w:ind w:left="1715" w:hanging="473"/>
      </w:pPr>
      <w:rPr>
        <w:lang w:val="it-IT" w:eastAsia="en-US" w:bidi="ar-SA"/>
      </w:rPr>
    </w:lvl>
    <w:lvl w:ilvl="2" w:tplc="4B0803B8">
      <w:numFmt w:val="bullet"/>
      <w:lvlText w:val="•"/>
      <w:lvlJc w:val="left"/>
      <w:pPr>
        <w:ind w:left="2591" w:hanging="473"/>
      </w:pPr>
      <w:rPr>
        <w:lang w:val="it-IT" w:eastAsia="en-US" w:bidi="ar-SA"/>
      </w:rPr>
    </w:lvl>
    <w:lvl w:ilvl="3" w:tplc="02049418">
      <w:numFmt w:val="bullet"/>
      <w:lvlText w:val="•"/>
      <w:lvlJc w:val="left"/>
      <w:pPr>
        <w:ind w:left="3467" w:hanging="473"/>
      </w:pPr>
      <w:rPr>
        <w:lang w:val="it-IT" w:eastAsia="en-US" w:bidi="ar-SA"/>
      </w:rPr>
    </w:lvl>
    <w:lvl w:ilvl="4" w:tplc="C76062C4">
      <w:numFmt w:val="bullet"/>
      <w:lvlText w:val="•"/>
      <w:lvlJc w:val="left"/>
      <w:pPr>
        <w:ind w:left="4343" w:hanging="473"/>
      </w:pPr>
      <w:rPr>
        <w:lang w:val="it-IT" w:eastAsia="en-US" w:bidi="ar-SA"/>
      </w:rPr>
    </w:lvl>
    <w:lvl w:ilvl="5" w:tplc="56DCA902">
      <w:numFmt w:val="bullet"/>
      <w:lvlText w:val="•"/>
      <w:lvlJc w:val="left"/>
      <w:pPr>
        <w:ind w:left="5219" w:hanging="473"/>
      </w:pPr>
      <w:rPr>
        <w:lang w:val="it-IT" w:eastAsia="en-US" w:bidi="ar-SA"/>
      </w:rPr>
    </w:lvl>
    <w:lvl w:ilvl="6" w:tplc="535A2C3C">
      <w:numFmt w:val="bullet"/>
      <w:lvlText w:val="•"/>
      <w:lvlJc w:val="left"/>
      <w:pPr>
        <w:ind w:left="6095" w:hanging="473"/>
      </w:pPr>
      <w:rPr>
        <w:lang w:val="it-IT" w:eastAsia="en-US" w:bidi="ar-SA"/>
      </w:rPr>
    </w:lvl>
    <w:lvl w:ilvl="7" w:tplc="570259B2">
      <w:numFmt w:val="bullet"/>
      <w:lvlText w:val="•"/>
      <w:lvlJc w:val="left"/>
      <w:pPr>
        <w:ind w:left="6971" w:hanging="473"/>
      </w:pPr>
      <w:rPr>
        <w:lang w:val="it-IT" w:eastAsia="en-US" w:bidi="ar-SA"/>
      </w:rPr>
    </w:lvl>
    <w:lvl w:ilvl="8" w:tplc="9C24BE4A">
      <w:numFmt w:val="bullet"/>
      <w:lvlText w:val="•"/>
      <w:lvlJc w:val="left"/>
      <w:pPr>
        <w:ind w:left="7847" w:hanging="473"/>
      </w:pPr>
      <w:rPr>
        <w:lang w:val="it-I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5"/>
    <w:rsid w:val="002A0BB5"/>
    <w:rsid w:val="005774B5"/>
    <w:rsid w:val="008E1309"/>
    <w:rsid w:val="00CC390B"/>
    <w:rsid w:val="00CF1A33"/>
    <w:rsid w:val="00E66E4E"/>
    <w:rsid w:val="00E81D91"/>
    <w:rsid w:val="00EE1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D96C92"/>
  <w15:chartTrackingRefBased/>
  <w15:docId w15:val="{81114A41-9736-48F0-B0CC-9C02F0F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5774B5"/>
    <w:rPr>
      <w:sz w:val="16"/>
      <w:szCs w:val="16"/>
    </w:rPr>
  </w:style>
  <w:style w:type="paragraph" w:styleId="Testocommento">
    <w:name w:val="annotation text"/>
    <w:basedOn w:val="Normale"/>
    <w:link w:val="TestocommentoCarattere"/>
    <w:uiPriority w:val="99"/>
    <w:unhideWhenUsed/>
    <w:rsid w:val="005774B5"/>
    <w:pPr>
      <w:widowControl w:val="0"/>
      <w:suppressAutoHyphens/>
      <w:spacing w:after="0" w:line="240" w:lineRule="auto"/>
    </w:pPr>
    <w:rPr>
      <w:rFonts w:ascii="Liberation Serif" w:eastAsia="SimSun" w:hAnsi="Liberation Serif" w:cs="Mangal"/>
      <w:kern w:val="1"/>
      <w:sz w:val="20"/>
      <w:szCs w:val="18"/>
      <w:lang w:eastAsia="zh-CN" w:bidi="hi-IN"/>
    </w:rPr>
  </w:style>
  <w:style w:type="character" w:customStyle="1" w:styleId="TestocommentoCarattere">
    <w:name w:val="Testo commento Carattere"/>
    <w:basedOn w:val="Carpredefinitoparagrafo"/>
    <w:link w:val="Testocommento"/>
    <w:uiPriority w:val="99"/>
    <w:rsid w:val="005774B5"/>
    <w:rPr>
      <w:rFonts w:ascii="Liberation Serif" w:eastAsia="SimSun" w:hAnsi="Liberation Serif" w:cs="Mangal"/>
      <w:kern w:val="1"/>
      <w:sz w:val="20"/>
      <w:szCs w:val="18"/>
      <w:lang w:eastAsia="zh-CN" w:bidi="hi-IN"/>
    </w:rPr>
  </w:style>
  <w:style w:type="paragraph" w:styleId="Revisione">
    <w:name w:val="Revision"/>
    <w:hidden/>
    <w:uiPriority w:val="99"/>
    <w:semiHidden/>
    <w:rsid w:val="002A0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ronconi@sprianocommun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usso@sprianocommunication.com" TargetMode="External"/><Relationship Id="rId5" Type="http://schemas.openxmlformats.org/officeDocument/2006/relationships/hyperlink" Target="mailto:alessio.muretti@bancaprofil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Tronconi</dc:creator>
  <cp:lastModifiedBy>Technotrad Traduzioni</cp:lastModifiedBy>
  <cp:revision>5</cp:revision>
  <dcterms:created xsi:type="dcterms:W3CDTF">2022-11-15T11:38:00Z</dcterms:created>
  <dcterms:modified xsi:type="dcterms:W3CDTF">2022-11-17T09:00:00Z</dcterms:modified>
</cp:coreProperties>
</file>